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tabs>
          <w:tab w:val="left" w:pos="709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мерах по исполнению п</w:t>
      </w:r>
      <w:r>
        <w:rPr>
          <w:b/>
          <w:color w:val="000000"/>
          <w:sz w:val="27"/>
          <w:szCs w:val="27"/>
          <w:shd w:val="clear" w:color="auto" w:fill="ffffff"/>
        </w:rPr>
        <w:t xml:space="preserve">одпункта «д» п</w:t>
      </w:r>
      <w:r>
        <w:rPr>
          <w:b/>
          <w:color w:val="000000"/>
          <w:sz w:val="27"/>
          <w:szCs w:val="27"/>
        </w:rPr>
        <w:t xml:space="preserve">ункта 1 Перечня поручений Президента Российской Федерации по итогам совещания с членами Правительства Российской Федерации от 03.10.2023 № Пр</w:t>
      </w:r>
      <w:r>
        <w:rPr>
          <w:b/>
          <w:sz w:val="27"/>
          <w:szCs w:val="27"/>
        </w:rPr>
        <w:t xml:space="preserve">-2005</w:t>
      </w:r>
    </w:p>
    <w:p>
      <w:pPr>
        <w:pStyle w:val="Normal"/>
        <w:tabs>
          <w:tab w:val="left" w:pos="709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ab/>
      </w:r>
      <w:r>
        <w:rPr>
          <w:sz w:val="27"/>
          <w:szCs w:val="27"/>
          <w:lang w:eastAsia="ru-RU"/>
        </w:rPr>
        <w:t xml:space="preserve">В Красноярском крае (далее – край) производство продукции из </w:t>
      </w:r>
      <w:r>
        <w:rPr>
          <w:color w:val="000000"/>
          <w:sz w:val="27"/>
          <w:szCs w:val="27"/>
          <w:lang w:eastAsia="ru-RU"/>
        </w:rPr>
        <w:t xml:space="preserve">рыбы</w:t>
      </w:r>
      <w:r>
        <w:rPr>
          <w:color w:val="000000"/>
          <w:sz w:val="27"/>
          <w:szCs w:val="27"/>
          <w:lang w:eastAsia="ru-RU"/>
        </w:rPr>
        <w:t xml:space="preserve">,</w:t>
      </w:r>
      <w:r>
        <w:rPr>
          <w:color w:val="000000"/>
          <w:sz w:val="27"/>
          <w:szCs w:val="27"/>
          <w:lang w:eastAsia="ru-RU"/>
        </w:rPr>
        <w:t xml:space="preserve"> ракообразных и моллюсков </w:t>
      </w:r>
      <w:r>
        <w:rPr>
          <w:sz w:val="27"/>
          <w:szCs w:val="27"/>
          <w:lang w:eastAsia="ru-RU"/>
        </w:rPr>
        <w:t xml:space="preserve">осуществляют более 50 перерабатывающих предприятий, </w:t>
      </w:r>
      <w:r>
        <w:rPr>
          <w:sz w:val="27"/>
          <w:szCs w:val="27"/>
          <w:lang w:eastAsia="ru-RU"/>
        </w:rPr>
        <w:t xml:space="preserve">мощности предприятий отрасли позволяют выпускать 15,1 тыс. тонн рыбной продукции в год</w:t>
      </w:r>
      <w:r>
        <w:rPr>
          <w:color w:val="000000"/>
          <w:sz w:val="27"/>
          <w:szCs w:val="27"/>
          <w:lang w:eastAsia="ru-RU"/>
        </w:rPr>
        <w:t xml:space="preserve">.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</w:rPr>
        <w:t xml:space="preserve">Крупнейшими предприятиями отрасли</w:t>
      </w:r>
      <w:r>
        <w:rPr>
          <w:sz w:val="27"/>
          <w:szCs w:val="27"/>
        </w:rPr>
        <w:br w:type="textWrapping" w:clear="all"/>
      </w:r>
      <w:r>
        <w:rPr>
          <w:sz w:val="27"/>
          <w:szCs w:val="27"/>
        </w:rPr>
        <w:t xml:space="preserve">по производству рыбной продукции являются</w:t>
      </w:r>
      <w:r>
        <w:rPr>
          <w:sz w:val="27"/>
          <w:szCs w:val="27"/>
        </w:rPr>
        <w:t xml:space="preserve"> </w:t>
      </w:r>
      <w:r>
        <w:rPr>
          <w:rFonts w:eastAsia="Calibri"/>
          <w:snapToGrid w:val="0"/>
          <w:sz w:val="27"/>
          <w:szCs w:val="27"/>
        </w:rPr>
        <w:t xml:space="preserve">ООО «Делси», ООО «Малтат», ООО «Авангард».</w:t>
      </w:r>
      <w:r>
        <w:rPr>
          <w:rFonts w:eastAsia="Calibri"/>
          <w:snapToGrid w:val="0"/>
          <w:sz w:val="27"/>
          <w:szCs w:val="27"/>
        </w:rPr>
        <w:t xml:space="preserve"> </w:t>
      </w:r>
      <w:r>
        <w:rPr>
          <w:sz w:val="27"/>
          <w:szCs w:val="27"/>
          <w:lang w:eastAsia="ru-RU"/>
        </w:rPr>
        <w:t xml:space="preserve">В 2024 году объем </w:t>
      </w:r>
      <w:r>
        <w:rPr>
          <w:color w:val="000000"/>
          <w:sz w:val="27"/>
          <w:szCs w:val="27"/>
          <w:lang w:eastAsia="ru-RU"/>
        </w:rPr>
        <w:t xml:space="preserve">рыбы переработанной</w:t>
      </w:r>
      <w:r>
        <w:rPr>
          <w:color w:val="000000"/>
          <w:sz w:val="27"/>
          <w:szCs w:val="27"/>
          <w:lang w:eastAsia="ru-RU"/>
        </w:rPr>
        <w:br w:type="textWrapping" w:clear="all"/>
      </w:r>
      <w:r>
        <w:rPr>
          <w:color w:val="000000"/>
          <w:sz w:val="27"/>
          <w:szCs w:val="27"/>
          <w:lang w:eastAsia="ru-RU"/>
        </w:rPr>
        <w:t xml:space="preserve">и консервированной, ракообразных и моллюсков</w:t>
      </w:r>
      <w:r>
        <w:rPr>
          <w:sz w:val="27"/>
          <w:szCs w:val="27"/>
          <w:lang w:eastAsia="ru-RU"/>
        </w:rPr>
        <w:t xml:space="preserve"> составил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10,63 тыс. тонн (95,3% к аналогичному периоду 2023 года). </w:t>
      </w:r>
      <w:r>
        <w:rPr>
          <w:sz w:val="27"/>
          <w:szCs w:val="27"/>
          <w:lang w:eastAsia="ru-RU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отрасли товарного рыбоводства (аквакультуры) </w:t>
      </w:r>
      <w:r>
        <w:rPr>
          <w:sz w:val="27"/>
          <w:szCs w:val="27"/>
        </w:rPr>
        <w:t xml:space="preserve">осуществляют деятельность 5</w:t>
      </w:r>
      <w:r>
        <w:rPr>
          <w:sz w:val="27"/>
          <w:szCs w:val="27"/>
        </w:rPr>
        <w:t xml:space="preserve"> предприятий, которыми в 202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году произведено </w:t>
      </w:r>
      <w:r>
        <w:rPr>
          <w:sz w:val="27"/>
          <w:szCs w:val="27"/>
        </w:rPr>
        <w:t xml:space="preserve">2491</w:t>
      </w:r>
      <w:r>
        <w:rPr>
          <w:sz w:val="27"/>
          <w:szCs w:val="27"/>
        </w:rPr>
        <w:t xml:space="preserve"> тонн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товарной рыбы. Наряду с производством товарной рыбы занимаются воспроизводством водных биологических ресурсов 2 организации: ООО «Малтат», ООО «Назаровское рыбное хозяйство». Основными видами выращиваемых в крае рыб являются: форель, карп, стерлядь, осетр, сом, толстолобик. </w:t>
      </w:r>
    </w:p>
    <w:p>
      <w:pPr>
        <w:pStyle w:val="Normal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В целях </w:t>
      </w:r>
      <w:r>
        <w:rPr>
          <w:sz w:val="27"/>
          <w:szCs w:val="27"/>
        </w:rPr>
        <w:t xml:space="preserve">стимулирования развития отрасли рыбоводства (аквакультуры)</w:t>
        <w:br w:type="textWrapping" w:clear="all"/>
      </w:r>
      <w:r>
        <w:rPr>
          <w:rFonts w:eastAsia="Calibri"/>
          <w:sz w:val="27"/>
          <w:szCs w:val="27"/>
        </w:rPr>
        <w:t xml:space="preserve">в соответствии с Законом края от 07.07.2022 № 3-1004 «О государственной поддержке агропромышленного комплекса края» </w:t>
      </w:r>
      <w:r>
        <w:rPr>
          <w:sz w:val="27"/>
          <w:szCs w:val="27"/>
        </w:rPr>
        <w:t xml:space="preserve">в крае </w:t>
      </w:r>
      <w:r>
        <w:rPr>
          <w:rFonts w:eastAsia="Calibri"/>
          <w:sz w:val="27"/>
          <w:szCs w:val="27"/>
        </w:rPr>
        <w:t xml:space="preserve">предусмотрены меры государственной поддержки:</w:t>
      </w:r>
    </w:p>
    <w:p>
      <w:pPr>
        <w:pStyle w:val="Normal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возмещение части затрат, связанных с реализацией инвестиционных проектов в агропромышленном комплексе по приоритетным направлениям государственной поддержки; </w:t>
      </w:r>
    </w:p>
    <w:p>
      <w:pPr>
        <w:pStyle w:val="Normal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предоставление грантов 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в том числе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продукции;</w:t>
      </w:r>
    </w:p>
    <w:p>
      <w:pPr>
        <w:pStyle w:val="Normal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возмещение части затрат на выращивание товарной рыбы;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возмещение части затрат на уплату процентов по кредитам, полученным</w:t>
        <w:br w:type="textWrapping" w:clear="all"/>
        <w:t xml:space="preserve">в российских кредитных организациях, и займам, полученным</w:t>
        <w:br w:type="textWrapping" w:clear="all"/>
        <w:t xml:space="preserve">в с</w:t>
      </w:r>
      <w:r>
        <w:rPr>
          <w:sz w:val="27"/>
          <w:szCs w:val="27"/>
        </w:rPr>
        <w:t xml:space="preserve">ельскохозяйственных кредитных потребительских кооперативах,</w:t>
        <w:br w:type="textWrapping" w:clear="all"/>
        <w:t xml:space="preserve">за исключением инвестиционных кредитов (займов), по кредитным договорам (договорам займа), заключенным с 1 января 2017 года на срок до 2 лет, на цели, определенные Правительством края или уполномоченным исполнительным органом края</w:t>
      </w:r>
      <w:r>
        <w:rPr>
          <w:sz w:val="27"/>
          <w:szCs w:val="27"/>
        </w:rPr>
        <w:t xml:space="preserve">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Красноярском крае рыбная продукция представлена в ассортименте большинства торговых объектов: магазины торговых сетей и несетевой розницы, нестационарные торговые объекты, а также объекты рыночного формата. Кроме этого, реализация рыбной продукции в крае осуществляется</w:t>
        <w:br w:type="textWrapping" w:clear="all"/>
        <w:t xml:space="preserve">в специализированных рыбных магазинах, фирменных отделах формата «магазин в магазине», расположенных в торговых объектах региональных торговых сетей.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в целях повышения доступности для населения региона продуктов питания в населенных пунктах края, за исключением отдельных северных территорий, органами местного самоуправления муниципальных образований края на постоянной основе проводятся ярмарочные мероприятия (ярмарки тематические, сезонные, выходного дня, постоянно действующие торговые площадки и другие). На данных мероприятиях представлены</w:t>
        <w:br w:type="textWrapping" w:clear="all"/>
        <w:t xml:space="preserve">к продаже продовольственные товары, включая рыбу и рыбную продукцию. Места для торговли участникам предоставляются на безвозмездной основе.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Федеральными и региональными торговыми сетями в целях привлечения покупателей периодически проводятся акции по снижению цены на рыбную продукцию. Это способствует повышению объема продаж,</w:t>
        <w:br w:type="textWrapping" w:clear="all"/>
        <w:t xml:space="preserve">а соответственно увеличению потребления данной продукции населением региона.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общеобразовательных учреждениях края, государственных медицинских учреждениях и краевых учреждениях социального обслуживания</w:t>
      </w:r>
      <w:r>
        <w:rPr>
          <w:color w:val="000000"/>
          <w:sz w:val="27"/>
          <w:szCs w:val="27"/>
        </w:rPr>
        <w:t xml:space="preserve"> (далее – учреждения)</w:t>
      </w:r>
      <w:r>
        <w:rPr>
          <w:color w:val="000000"/>
          <w:sz w:val="27"/>
          <w:szCs w:val="27"/>
        </w:rPr>
        <w:t xml:space="preserve"> питание осуществляется в соответствии с нормами, утвержденными действующим региональным и федеральным законодательством; рыба и рыбная продукция предусмотрены в составе рационов, меню и продуктов питания.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учреждениях края регулярно проводятся мероприятия, направленные на формирование культуры здорового питания, оформляются тематические стенды, в которые включена информация, в том числе о пользе рыбной продукции.</w:t>
      </w:r>
      <w:r>
        <w:rPr>
          <w:color w:val="000000"/>
          <w:sz w:val="27"/>
          <w:szCs w:val="27"/>
        </w:rPr>
      </w:r>
    </w:p>
    <w:p>
      <w:pPr>
        <w:pStyle w:val="Normal"/>
        <w:tabs>
          <w:tab w:val="left" w:pos="709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Заместителем Председателя Правите</w:t>
      </w:r>
      <w:r>
        <w:rPr>
          <w:sz w:val="27"/>
          <w:szCs w:val="27"/>
        </w:rPr>
        <w:t xml:space="preserve">льства Российской Федерации</w:t>
        <w:br w:type="textWrapping" w:clear="all"/>
        <w:t xml:space="preserve">Д.</w:t>
      </w:r>
      <w:r>
        <w:rPr>
          <w:sz w:val="27"/>
          <w:szCs w:val="27"/>
        </w:rPr>
        <w:t xml:space="preserve">Н. Патрушевым утвержден План мероприятий («дорожная карта»)</w:t>
        <w:br w:type="textWrapping" w:clear="all"/>
        <w:t xml:space="preserve">по увеличению внутреннего потребления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отечественной рыбной продукции</w:t>
        <w:br w:type="textWrapping" w:clear="all"/>
        <w:t xml:space="preserve">на период до 2030 года от 31.07.2024 №ДП-П11-24584.</w:t>
      </w:r>
      <w:r>
        <w:rPr>
          <w:sz w:val="27"/>
          <w:szCs w:val="27"/>
        </w:rPr>
      </w:r>
    </w:p>
    <w:p>
      <w:pPr>
        <w:pStyle w:val="Normal"/>
        <w:tabs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6"/>
      <w:type w:val="nextPage"/>
      <w:pgSz w:w="11906" w:h="16838"/>
      <w:pgMar w:top="1077" w:right="851" w:bottom="851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color w:val="00000a"/>
      <w:lang w:val="ru-RU" w:eastAsia="zh-CN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BodyText">
    <w:name w:val="Основной текст"/>
    <w:basedOn w:val="Normal"/>
    <w:next w:val="BodyText"/>
    <w:link w:val="UserStyle_0"/>
    <w:pPr>
      <w:spacing w:after="140" w:line="288" w:lineRule="auto"/>
    </w:pPr>
    <w:rPr>
      <w:lang w:val="en-US"/>
    </w:rPr>
  </w:style>
  <w:style w:type="character" w:styleId="UserStyle_0">
    <w:name w:val="Основной текст Знак"/>
    <w:next w:val="UserStyle_0"/>
    <w:link w:val="BodyText"/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Caption">
    <w:name w:val="Название объекта"/>
    <w:basedOn w:val="Normal"/>
    <w:next w:val="Normal"/>
    <w:link w:val="Normal"/>
    <w:qFormat/>
    <w:pPr>
      <w:tabs>
        <w:tab w:val="left" w:pos="5529" w:leader="none"/>
      </w:tabs>
      <w:jc w:val="both"/>
    </w:pPr>
    <w:rPr>
      <w:color w:val="000000"/>
      <w:sz w:val="28"/>
      <w:szCs w:val="28"/>
      <w:lang w:eastAsia="ru-RU"/>
    </w:rPr>
  </w:style>
  <w:style w:type="paragraph" w:styleId="Header">
    <w:name w:val="Верхний колонтитул"/>
    <w:basedOn w:val="Normal"/>
    <w:next w:val="Header"/>
    <w:link w:val="UserStyle_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1">
    <w:name w:val="Верхний колонтитул Знак"/>
    <w:next w:val="UserStyle_1"/>
    <w:link w:val="Header"/>
    <w:uiPriority w:val="99"/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Footer">
    <w:name w:val="Нижний колонтитул"/>
    <w:basedOn w:val="Normal"/>
    <w:next w:val="Footer"/>
    <w:link w:val="UserStyle_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UserStyle_2">
    <w:name w:val="Нижний колонтитул Знак"/>
    <w:next w:val="UserStyle_2"/>
    <w:link w:val="Footer"/>
    <w:uiPriority w:val="99"/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Acetate">
    <w:name w:val="Текст выноски"/>
    <w:basedOn w:val="Normal"/>
    <w:next w:val="Acetate"/>
    <w:link w:val="UserStyle_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UserStyle_3">
    <w:name w:val="Текст выноски Знак"/>
    <w:next w:val="UserStyle_3"/>
    <w:link w:val="Acetate"/>
    <w:uiPriority w:val="99"/>
    <w:semiHidden/>
    <w:rPr>
      <w:rFonts w:ascii="Tahoma" w:hAnsi="Tahoma" w:eastAsia="Times New Roman" w:cs="Tahoma"/>
      <w:color w:val="00000a"/>
      <w:sz w:val="16"/>
      <w:szCs w:val="16"/>
      <w:lang w:eastAsia="zh-CN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179">
    <w:name w:val="Абзац списка"/>
    <w:basedOn w:val="Normal"/>
    <w:next w:val="179"/>
    <w:link w:val="UserStyle_4"/>
    <w:uiPriority w:val="34"/>
    <w:qFormat/>
    <w:pPr>
      <w:ind w:left="720"/>
      <w:contextualSpacing/>
    </w:pPr>
  </w:style>
  <w:style w:type="character" w:styleId="UserStyle_4">
    <w:name w:val="Абзац списка Знак"/>
    <w:next w:val="UserStyle_4"/>
    <w:link w:val="179"/>
    <w:uiPriority w:val="34"/>
    <w:rPr>
      <w:rFonts w:ascii="Times New Roman" w:hAnsi="Times New Roman" w:eastAsia="Times New Roman"/>
      <w:color w:val="00000a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3736</Characters>
  <CharactersWithSpaces>4383</CharactersWithSpaces>
  <DocSecurity>0</DocSecurity>
  <HyperlinksChanged>false</HyperlinksChanged>
  <Lines>31</Lines>
  <Pages>2</Pages>
  <Paragraphs>8</Paragraphs>
  <ScaleCrop>false</ScaleCrop>
  <SharedDoc>false</SharedDoc>
  <Template>Бланк ПИСЬМО МИНИСТЕРСТВО ЭЦП от 20.01.2021</Template>
  <Words>655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А. Мосиенко</dc:creator>
  <cp:lastModifiedBy>artemjeva</cp:lastModifiedBy>
  <cp:revision>10</cp:revision>
  <dcterms:created xsi:type="dcterms:W3CDTF">2024-12-05T02:51:00Z</dcterms:created>
  <dcterms:modified xsi:type="dcterms:W3CDTF">2025-06-05T09:11:00Z</dcterms:modified>
  <cp:version>983040</cp:version>
</cp:coreProperties>
</file>